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2026-0279-66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Erdarbeiten, Kanalbauarbeiten, Straßenbauarbeiten - Prozessionsweg, RRB Graelbach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Amt für Mobilität und Tiefbau der Stadt Münster beabsichtigt den Bau eines Regenrückhaltebeckens am Prozessionsweg in Münster Mauritz-Ost. 
Die Herstellung des Regenrückhaltebeckens dient der wasserrechtlich geforderten Rückhaltung von Regenwasser aus dem vorgelagerten Einleitgebiet in den Graelbaches.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